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7B22A" w14:textId="61F749BA" w:rsidR="00EC6ADA" w:rsidRPr="00076E9A" w:rsidRDefault="00CF7DD6" w:rsidP="00076E9A">
      <w:pPr>
        <w:spacing w:line="360" w:lineRule="auto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076E9A">
        <w:rPr>
          <w:rFonts w:ascii="Bookman Old Style" w:hAnsi="Bookman Old Style"/>
          <w:b/>
          <w:bCs/>
          <w:sz w:val="24"/>
          <w:szCs w:val="24"/>
        </w:rPr>
        <w:t>TANGGAPAN MAHKAMAH AGUNG TERHADAP HASIL EKSAMINASI PUBLIK PUTUSAN NOMOR 17 P/HUM/2021</w:t>
      </w:r>
      <w:r w:rsidR="007175CB">
        <w:rPr>
          <w:rFonts w:ascii="Bookman Old Style" w:hAnsi="Bookman Old Style"/>
          <w:b/>
          <w:bCs/>
          <w:sz w:val="24"/>
          <w:szCs w:val="24"/>
        </w:rPr>
        <w:t xml:space="preserve"> (3 Mei 2021)</w:t>
      </w:r>
    </w:p>
    <w:p w14:paraId="1966DFC4" w14:textId="044B37AC" w:rsidR="00CF7DD6" w:rsidRPr="00CF7DD6" w:rsidRDefault="00076E9A" w:rsidP="00076E9A">
      <w:pPr>
        <w:spacing w:line="360" w:lineRule="auto"/>
        <w:rPr>
          <w:rFonts w:ascii="Bookman Old Style" w:hAnsi="Bookman Old Style"/>
          <w:sz w:val="24"/>
          <w:szCs w:val="24"/>
        </w:rPr>
      </w:pPr>
      <w:proofErr w:type="spellStart"/>
      <w:r w:rsidRPr="00CF7DD6">
        <w:rPr>
          <w:rFonts w:ascii="Bookman Old Style" w:hAnsi="Bookman Old Style"/>
          <w:sz w:val="24"/>
          <w:szCs w:val="24"/>
        </w:rPr>
        <w:t>Disampaikan</w:t>
      </w:r>
      <w:proofErr w:type="spellEnd"/>
      <w:r w:rsidRPr="00CF7DD6">
        <w:rPr>
          <w:rFonts w:ascii="Bookman Old Style" w:hAnsi="Bookman Old Style"/>
          <w:sz w:val="24"/>
          <w:szCs w:val="24"/>
        </w:rPr>
        <w:t xml:space="preserve"> Oleh </w:t>
      </w:r>
      <w:proofErr w:type="spellStart"/>
      <w:r w:rsidRPr="00CF7DD6">
        <w:rPr>
          <w:rFonts w:ascii="Bookman Old Style" w:hAnsi="Bookman Old Style"/>
          <w:sz w:val="24"/>
          <w:szCs w:val="24"/>
        </w:rPr>
        <w:t>Kepala</w:t>
      </w:r>
      <w:proofErr w:type="spellEnd"/>
      <w:r w:rsidRPr="00CF7DD6">
        <w:rPr>
          <w:rFonts w:ascii="Bookman Old Style" w:hAnsi="Bookman Old Style"/>
          <w:sz w:val="24"/>
          <w:szCs w:val="24"/>
        </w:rPr>
        <w:t xml:space="preserve"> Biro </w:t>
      </w:r>
      <w:proofErr w:type="spellStart"/>
      <w:r w:rsidRPr="00CF7DD6">
        <w:rPr>
          <w:rFonts w:ascii="Bookman Old Style" w:hAnsi="Bookman Old Style"/>
          <w:sz w:val="24"/>
          <w:szCs w:val="24"/>
        </w:rPr>
        <w:t>Hukum</w:t>
      </w:r>
      <w:proofErr w:type="spellEnd"/>
      <w:r w:rsidRPr="00CF7DD6">
        <w:rPr>
          <w:rFonts w:ascii="Bookman Old Style" w:hAnsi="Bookman Old Style"/>
          <w:sz w:val="24"/>
          <w:szCs w:val="24"/>
        </w:rPr>
        <w:t xml:space="preserve"> Dan </w:t>
      </w:r>
      <w:proofErr w:type="spellStart"/>
      <w:r w:rsidRPr="00CF7DD6">
        <w:rPr>
          <w:rFonts w:ascii="Bookman Old Style" w:hAnsi="Bookman Old Style"/>
          <w:sz w:val="24"/>
          <w:szCs w:val="24"/>
        </w:rPr>
        <w:t>Humas</w:t>
      </w:r>
      <w:proofErr w:type="spellEnd"/>
      <w:r w:rsidR="00CF7DD6" w:rsidRPr="00CF7DD6">
        <w:rPr>
          <w:rFonts w:ascii="Bookman Old Style" w:hAnsi="Bookman Old Style"/>
          <w:sz w:val="24"/>
          <w:szCs w:val="24"/>
        </w:rPr>
        <w:t xml:space="preserve"> MA</w:t>
      </w:r>
    </w:p>
    <w:p w14:paraId="6CC9958B" w14:textId="6CCAF858" w:rsidR="00CF7DD6" w:rsidRPr="00CF7DD6" w:rsidRDefault="00076E9A" w:rsidP="00076E9A">
      <w:pPr>
        <w:spacing w:line="360" w:lineRule="auto"/>
        <w:rPr>
          <w:rFonts w:ascii="Bookman Old Style" w:hAnsi="Bookman Old Style"/>
          <w:sz w:val="24"/>
          <w:szCs w:val="24"/>
        </w:rPr>
      </w:pPr>
      <w:proofErr w:type="spellStart"/>
      <w:r w:rsidRPr="00CF7DD6">
        <w:rPr>
          <w:rFonts w:ascii="Bookman Old Style" w:hAnsi="Bookman Old Style"/>
          <w:sz w:val="24"/>
          <w:szCs w:val="24"/>
        </w:rPr>
        <w:t>Senin</w:t>
      </w:r>
      <w:proofErr w:type="spellEnd"/>
      <w:r w:rsidR="00CF7DD6" w:rsidRPr="00CF7DD6">
        <w:rPr>
          <w:rFonts w:ascii="Bookman Old Style" w:hAnsi="Bookman Old Style"/>
          <w:sz w:val="24"/>
          <w:szCs w:val="24"/>
        </w:rPr>
        <w:t xml:space="preserve">, 1 </w:t>
      </w:r>
      <w:r w:rsidRPr="00CF7DD6">
        <w:rPr>
          <w:rFonts w:ascii="Bookman Old Style" w:hAnsi="Bookman Old Style"/>
          <w:sz w:val="24"/>
          <w:szCs w:val="24"/>
        </w:rPr>
        <w:t xml:space="preserve">November </w:t>
      </w:r>
      <w:r w:rsidR="00CF7DD6" w:rsidRPr="00CF7DD6">
        <w:rPr>
          <w:rFonts w:ascii="Bookman Old Style" w:hAnsi="Bookman Old Style"/>
          <w:sz w:val="24"/>
          <w:szCs w:val="24"/>
        </w:rPr>
        <w:t>2021</w:t>
      </w:r>
    </w:p>
    <w:p w14:paraId="43FAA025" w14:textId="00DE82E3" w:rsidR="00CF7DD6" w:rsidRPr="00CF7DD6" w:rsidRDefault="00CF7DD6" w:rsidP="00076E9A">
      <w:pPr>
        <w:spacing w:line="360" w:lineRule="auto"/>
        <w:rPr>
          <w:rFonts w:ascii="Bookman Old Style" w:hAnsi="Bookman Old Style"/>
          <w:sz w:val="24"/>
          <w:szCs w:val="24"/>
        </w:rPr>
      </w:pPr>
    </w:p>
    <w:p w14:paraId="734FF0F7" w14:textId="1AAF7CCF" w:rsidR="00CF7DD6" w:rsidRPr="00CF7DD6" w:rsidRDefault="00CF7DD6" w:rsidP="00076E9A">
      <w:pPr>
        <w:spacing w:line="360" w:lineRule="auto"/>
        <w:rPr>
          <w:rFonts w:ascii="Bookman Old Style" w:hAnsi="Bookman Old Style"/>
          <w:sz w:val="24"/>
          <w:szCs w:val="24"/>
        </w:rPr>
      </w:pPr>
      <w:r w:rsidRPr="00076E9A">
        <w:rPr>
          <w:rFonts w:ascii="Bookman Old Style" w:hAnsi="Bookman Old Style"/>
          <w:b/>
          <w:bCs/>
          <w:sz w:val="24"/>
          <w:szCs w:val="24"/>
        </w:rPr>
        <w:t>POIN-POIN TANGGAPAN</w:t>
      </w:r>
      <w:r w:rsidRPr="00CF7DD6">
        <w:rPr>
          <w:rFonts w:ascii="Bookman Old Style" w:hAnsi="Bookman Old Style"/>
          <w:sz w:val="24"/>
          <w:szCs w:val="24"/>
        </w:rPr>
        <w:t>:</w:t>
      </w:r>
    </w:p>
    <w:p w14:paraId="434971BB" w14:textId="41A6330B" w:rsidR="00CF7DD6" w:rsidRDefault="00CF7DD6" w:rsidP="00076E9A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Berdas</w:t>
      </w:r>
      <w:r w:rsidR="00076E9A">
        <w:rPr>
          <w:rFonts w:ascii="Bookman Old Style" w:hAnsi="Bookman Old Style"/>
          <w:sz w:val="24"/>
          <w:szCs w:val="24"/>
        </w:rPr>
        <w:t>a</w:t>
      </w:r>
      <w:r>
        <w:rPr>
          <w:rFonts w:ascii="Bookman Old Style" w:hAnsi="Bookman Old Style"/>
          <w:sz w:val="24"/>
          <w:szCs w:val="24"/>
        </w:rPr>
        <w:t>rkan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Pasal</w:t>
      </w:r>
      <w:proofErr w:type="spellEnd"/>
      <w:r>
        <w:rPr>
          <w:rFonts w:ascii="Bookman Old Style" w:hAnsi="Bookman Old Style"/>
          <w:sz w:val="24"/>
          <w:szCs w:val="24"/>
        </w:rPr>
        <w:t xml:space="preserve"> 24 </w:t>
      </w:r>
      <w:proofErr w:type="spellStart"/>
      <w:r>
        <w:rPr>
          <w:rFonts w:ascii="Bookman Old Style" w:hAnsi="Bookman Old Style"/>
          <w:sz w:val="24"/>
          <w:szCs w:val="24"/>
        </w:rPr>
        <w:t>ayat</w:t>
      </w:r>
      <w:proofErr w:type="spellEnd"/>
      <w:r>
        <w:rPr>
          <w:rFonts w:ascii="Bookman Old Style" w:hAnsi="Bookman Old Style"/>
          <w:sz w:val="24"/>
          <w:szCs w:val="24"/>
        </w:rPr>
        <w:t xml:space="preserve"> (1) UUD </w:t>
      </w:r>
      <w:proofErr w:type="spellStart"/>
      <w:r>
        <w:rPr>
          <w:rFonts w:ascii="Bookman Old Style" w:hAnsi="Bookman Old Style"/>
          <w:sz w:val="24"/>
          <w:szCs w:val="24"/>
        </w:rPr>
        <w:t>Tahun</w:t>
      </w:r>
      <w:proofErr w:type="spellEnd"/>
      <w:r>
        <w:rPr>
          <w:rFonts w:ascii="Bookman Old Style" w:hAnsi="Bookman Old Style"/>
          <w:sz w:val="24"/>
          <w:szCs w:val="24"/>
        </w:rPr>
        <w:t xml:space="preserve"> 1945, </w:t>
      </w:r>
      <w:proofErr w:type="spellStart"/>
      <w:r>
        <w:rPr>
          <w:rFonts w:ascii="Bookman Old Style" w:hAnsi="Bookman Old Style"/>
          <w:sz w:val="24"/>
          <w:szCs w:val="24"/>
        </w:rPr>
        <w:t>kekuasaan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kehakiman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merupakan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kekuasaan</w:t>
      </w:r>
      <w:proofErr w:type="spellEnd"/>
      <w:r>
        <w:rPr>
          <w:rFonts w:ascii="Bookman Old Style" w:hAnsi="Bookman Old Style"/>
          <w:sz w:val="24"/>
          <w:szCs w:val="24"/>
        </w:rPr>
        <w:t xml:space="preserve"> yang </w:t>
      </w:r>
      <w:proofErr w:type="spellStart"/>
      <w:r>
        <w:rPr>
          <w:rFonts w:ascii="Bookman Old Style" w:hAnsi="Bookman Old Style"/>
          <w:sz w:val="24"/>
          <w:szCs w:val="24"/>
        </w:rPr>
        <w:t>merdeka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untuk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menyelenggarakan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peradilan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guna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menegakkan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hukum</w:t>
      </w:r>
      <w:proofErr w:type="spellEnd"/>
      <w:r>
        <w:rPr>
          <w:rFonts w:ascii="Bookman Old Style" w:hAnsi="Bookman Old Style"/>
          <w:sz w:val="24"/>
          <w:szCs w:val="24"/>
        </w:rPr>
        <w:t xml:space="preserve"> dan </w:t>
      </w:r>
      <w:proofErr w:type="spellStart"/>
      <w:r>
        <w:rPr>
          <w:rFonts w:ascii="Bookman Old Style" w:hAnsi="Bookman Old Style"/>
          <w:sz w:val="24"/>
          <w:szCs w:val="24"/>
        </w:rPr>
        <w:t>keadilan</w:t>
      </w:r>
      <w:proofErr w:type="spellEnd"/>
      <w:r>
        <w:rPr>
          <w:rFonts w:ascii="Bookman Old Style" w:hAnsi="Bookman Old Style"/>
          <w:sz w:val="24"/>
          <w:szCs w:val="24"/>
        </w:rPr>
        <w:t>;</w:t>
      </w:r>
    </w:p>
    <w:p w14:paraId="005C0A8F" w14:textId="03344883" w:rsidR="00CF7DD6" w:rsidRDefault="00CF7DD6" w:rsidP="00076E9A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Dalam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konteks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demokrasi</w:t>
      </w:r>
      <w:proofErr w:type="spellEnd"/>
      <w:r>
        <w:rPr>
          <w:rFonts w:ascii="Bookman Old Style" w:hAnsi="Bookman Old Style"/>
          <w:sz w:val="24"/>
          <w:szCs w:val="24"/>
        </w:rPr>
        <w:t xml:space="preserve"> dan </w:t>
      </w:r>
      <w:proofErr w:type="spellStart"/>
      <w:r>
        <w:rPr>
          <w:rFonts w:ascii="Bookman Old Style" w:hAnsi="Bookman Old Style"/>
          <w:sz w:val="24"/>
          <w:szCs w:val="24"/>
        </w:rPr>
        <w:t>kebebasan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berpendapat</w:t>
      </w:r>
      <w:proofErr w:type="spellEnd"/>
      <w:r>
        <w:rPr>
          <w:rFonts w:ascii="Bookman Old Style" w:hAnsi="Bookman Old Style"/>
          <w:sz w:val="24"/>
          <w:szCs w:val="24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</w:rPr>
        <w:t>Mahkamah</w:t>
      </w:r>
      <w:proofErr w:type="spellEnd"/>
      <w:r>
        <w:rPr>
          <w:rFonts w:ascii="Bookman Old Style" w:hAnsi="Bookman Old Style"/>
          <w:sz w:val="24"/>
          <w:szCs w:val="24"/>
        </w:rPr>
        <w:t xml:space="preserve"> Agung </w:t>
      </w:r>
      <w:proofErr w:type="spellStart"/>
      <w:r>
        <w:rPr>
          <w:rFonts w:ascii="Bookman Old Style" w:hAnsi="Bookman Old Style"/>
          <w:sz w:val="24"/>
          <w:szCs w:val="24"/>
        </w:rPr>
        <w:t>mengapresisi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langkah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publik</w:t>
      </w:r>
      <w:proofErr w:type="spellEnd"/>
      <w:r>
        <w:rPr>
          <w:rFonts w:ascii="Bookman Old Style" w:hAnsi="Bookman Old Style"/>
          <w:sz w:val="24"/>
          <w:szCs w:val="24"/>
        </w:rPr>
        <w:t xml:space="preserve"> yang </w:t>
      </w:r>
      <w:proofErr w:type="spellStart"/>
      <w:r>
        <w:rPr>
          <w:rFonts w:ascii="Bookman Old Style" w:hAnsi="Bookman Old Style"/>
          <w:sz w:val="24"/>
          <w:szCs w:val="24"/>
        </w:rPr>
        <w:t>melakukan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eksaminasi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r w:rsidR="00076E9A">
        <w:rPr>
          <w:rFonts w:ascii="Bookman Old Style" w:hAnsi="Bookman Old Style"/>
          <w:sz w:val="24"/>
          <w:szCs w:val="24"/>
        </w:rPr>
        <w:t>(</w:t>
      </w:r>
      <w:proofErr w:type="spellStart"/>
      <w:r w:rsidR="00076E9A">
        <w:rPr>
          <w:rFonts w:ascii="Bookman Old Style" w:hAnsi="Bookman Old Style"/>
          <w:sz w:val="24"/>
          <w:szCs w:val="24"/>
        </w:rPr>
        <w:t>kajian</w:t>
      </w:r>
      <w:proofErr w:type="spellEnd"/>
      <w:r w:rsidR="00076E9A">
        <w:rPr>
          <w:rFonts w:ascii="Bookman Old Style" w:hAnsi="Bookman Old Style"/>
          <w:sz w:val="24"/>
          <w:szCs w:val="24"/>
        </w:rPr>
        <w:t xml:space="preserve">) </w:t>
      </w:r>
      <w:proofErr w:type="spellStart"/>
      <w:r>
        <w:rPr>
          <w:rFonts w:ascii="Bookman Old Style" w:hAnsi="Bookman Old Style"/>
          <w:sz w:val="24"/>
          <w:szCs w:val="24"/>
        </w:rPr>
        <w:t>putusan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Mahkamah</w:t>
      </w:r>
      <w:proofErr w:type="spellEnd"/>
      <w:r>
        <w:rPr>
          <w:rFonts w:ascii="Bookman Old Style" w:hAnsi="Bookman Old Style"/>
          <w:sz w:val="24"/>
          <w:szCs w:val="24"/>
        </w:rPr>
        <w:t xml:space="preserve"> Agung</w:t>
      </w:r>
      <w:r w:rsidR="007175CB">
        <w:rPr>
          <w:rFonts w:ascii="Bookman Old Style" w:hAnsi="Bookman Old Style"/>
          <w:sz w:val="24"/>
          <w:szCs w:val="24"/>
        </w:rPr>
        <w:t xml:space="preserve"> (</w:t>
      </w:r>
      <w:proofErr w:type="spellStart"/>
      <w:r w:rsidR="007175CB">
        <w:rPr>
          <w:rFonts w:ascii="Bookman Old Style" w:hAnsi="Bookman Old Style"/>
          <w:sz w:val="24"/>
          <w:szCs w:val="24"/>
        </w:rPr>
        <w:t>termasuk</w:t>
      </w:r>
      <w:proofErr w:type="spellEnd"/>
      <w:r w:rsidR="007175C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7175CB">
        <w:rPr>
          <w:rFonts w:ascii="Bookman Old Style" w:hAnsi="Bookman Old Style"/>
          <w:sz w:val="24"/>
          <w:szCs w:val="24"/>
        </w:rPr>
        <w:t>putusan</w:t>
      </w:r>
      <w:proofErr w:type="spellEnd"/>
      <w:r w:rsidR="007175CB">
        <w:rPr>
          <w:rFonts w:ascii="Bookman Old Style" w:hAnsi="Bookman Old Style"/>
          <w:sz w:val="24"/>
          <w:szCs w:val="24"/>
        </w:rPr>
        <w:t xml:space="preserve"> yang </w:t>
      </w:r>
      <w:proofErr w:type="spellStart"/>
      <w:r w:rsidR="007175CB">
        <w:rPr>
          <w:rFonts w:ascii="Bookman Old Style" w:hAnsi="Bookman Old Style"/>
          <w:sz w:val="24"/>
          <w:szCs w:val="24"/>
        </w:rPr>
        <w:t>telah</w:t>
      </w:r>
      <w:proofErr w:type="spellEnd"/>
      <w:r w:rsidR="007175C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7175CB">
        <w:rPr>
          <w:rFonts w:ascii="Bookman Old Style" w:hAnsi="Bookman Old Style"/>
          <w:sz w:val="24"/>
          <w:szCs w:val="24"/>
        </w:rPr>
        <w:t>berkekuatan</w:t>
      </w:r>
      <w:proofErr w:type="spellEnd"/>
      <w:r w:rsidR="007175C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7175CB">
        <w:rPr>
          <w:rFonts w:ascii="Bookman Old Style" w:hAnsi="Bookman Old Style"/>
          <w:sz w:val="24"/>
          <w:szCs w:val="24"/>
        </w:rPr>
        <w:t>hukum</w:t>
      </w:r>
      <w:proofErr w:type="spellEnd"/>
      <w:r w:rsidR="007175C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7175CB">
        <w:rPr>
          <w:rFonts w:ascii="Bookman Old Style" w:hAnsi="Bookman Old Style"/>
          <w:sz w:val="24"/>
          <w:szCs w:val="24"/>
        </w:rPr>
        <w:t>tetap</w:t>
      </w:r>
      <w:proofErr w:type="spellEnd"/>
      <w:r w:rsidR="007175CB">
        <w:rPr>
          <w:rFonts w:ascii="Bookman Old Style" w:hAnsi="Bookman Old Style"/>
          <w:sz w:val="24"/>
          <w:szCs w:val="24"/>
        </w:rPr>
        <w:t>)</w:t>
      </w:r>
      <w:r w:rsidR="00076E9A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="00624177">
        <w:rPr>
          <w:rFonts w:ascii="Bookman Old Style" w:hAnsi="Bookman Old Style"/>
          <w:sz w:val="24"/>
          <w:szCs w:val="24"/>
        </w:rPr>
        <w:t>sehingga</w:t>
      </w:r>
      <w:proofErr w:type="spellEnd"/>
      <w:r w:rsid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24177">
        <w:rPr>
          <w:rFonts w:ascii="Bookman Old Style" w:hAnsi="Bookman Old Style"/>
          <w:sz w:val="24"/>
          <w:szCs w:val="24"/>
        </w:rPr>
        <w:t>putusan</w:t>
      </w:r>
      <w:proofErr w:type="spellEnd"/>
      <w:r w:rsidR="00624177">
        <w:rPr>
          <w:rFonts w:ascii="Bookman Old Style" w:hAnsi="Bookman Old Style"/>
          <w:sz w:val="24"/>
          <w:szCs w:val="24"/>
        </w:rPr>
        <w:t xml:space="preserve"> MA</w:t>
      </w:r>
      <w:r w:rsidR="00076E9A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076E9A">
        <w:rPr>
          <w:rFonts w:ascii="Bookman Old Style" w:hAnsi="Bookman Old Style"/>
          <w:sz w:val="24"/>
          <w:szCs w:val="24"/>
        </w:rPr>
        <w:t>telah</w:t>
      </w:r>
      <w:proofErr w:type="spellEnd"/>
      <w:r w:rsidR="00076E9A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24177">
        <w:rPr>
          <w:rFonts w:ascii="Bookman Old Style" w:hAnsi="Bookman Old Style"/>
          <w:sz w:val="24"/>
          <w:szCs w:val="24"/>
        </w:rPr>
        <w:t>dijadikan</w:t>
      </w:r>
      <w:proofErr w:type="spellEnd"/>
      <w:r w:rsid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24177">
        <w:rPr>
          <w:rFonts w:ascii="Bookman Old Style" w:hAnsi="Bookman Old Style"/>
          <w:sz w:val="24"/>
          <w:szCs w:val="24"/>
        </w:rPr>
        <w:t>objek</w:t>
      </w:r>
      <w:proofErr w:type="spellEnd"/>
      <w:r w:rsid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24177">
        <w:rPr>
          <w:rFonts w:ascii="Bookman Old Style" w:hAnsi="Bookman Old Style"/>
          <w:sz w:val="24"/>
          <w:szCs w:val="24"/>
        </w:rPr>
        <w:t>kajian</w:t>
      </w:r>
      <w:proofErr w:type="spellEnd"/>
      <w:r w:rsid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24177">
        <w:rPr>
          <w:rFonts w:ascii="Bookman Old Style" w:hAnsi="Bookman Old Style"/>
          <w:sz w:val="24"/>
          <w:szCs w:val="24"/>
        </w:rPr>
        <w:t>akademis</w:t>
      </w:r>
      <w:proofErr w:type="spellEnd"/>
      <w:r w:rsidR="00624177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="00624177">
        <w:rPr>
          <w:rFonts w:ascii="Bookman Old Style" w:hAnsi="Bookman Old Style"/>
          <w:sz w:val="24"/>
          <w:szCs w:val="24"/>
        </w:rPr>
        <w:t>namun</w:t>
      </w:r>
      <w:proofErr w:type="spellEnd"/>
      <w:r w:rsid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24177">
        <w:rPr>
          <w:rFonts w:ascii="Bookman Old Style" w:hAnsi="Bookman Old Style"/>
          <w:sz w:val="24"/>
          <w:szCs w:val="24"/>
        </w:rPr>
        <w:t>kebebasan</w:t>
      </w:r>
      <w:proofErr w:type="spellEnd"/>
      <w:r w:rsid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24177">
        <w:rPr>
          <w:rFonts w:ascii="Bookman Old Style" w:hAnsi="Bookman Old Style"/>
          <w:sz w:val="24"/>
          <w:szCs w:val="24"/>
        </w:rPr>
        <w:t>tersebut</w:t>
      </w:r>
      <w:proofErr w:type="spellEnd"/>
      <w:r w:rsid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076E9A">
        <w:rPr>
          <w:rFonts w:ascii="Bookman Old Style" w:hAnsi="Bookman Old Style"/>
          <w:sz w:val="24"/>
          <w:szCs w:val="24"/>
        </w:rPr>
        <w:t>tentunya</w:t>
      </w:r>
      <w:proofErr w:type="spellEnd"/>
      <w:r w:rsidR="00076E9A">
        <w:rPr>
          <w:rFonts w:ascii="Bookman Old Style" w:hAnsi="Bookman Old Style"/>
          <w:sz w:val="24"/>
          <w:szCs w:val="24"/>
        </w:rPr>
        <w:t xml:space="preserve"> juga</w:t>
      </w:r>
      <w:r w:rsidR="007175C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24177">
        <w:rPr>
          <w:rFonts w:ascii="Bookman Old Style" w:hAnsi="Bookman Old Style"/>
          <w:sz w:val="24"/>
          <w:szCs w:val="24"/>
        </w:rPr>
        <w:t>harus</w:t>
      </w:r>
      <w:proofErr w:type="spellEnd"/>
      <w:r w:rsid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24177">
        <w:rPr>
          <w:rFonts w:ascii="Bookman Old Style" w:hAnsi="Bookman Old Style"/>
          <w:sz w:val="24"/>
          <w:szCs w:val="24"/>
        </w:rPr>
        <w:t>dimaknai</w:t>
      </w:r>
      <w:proofErr w:type="spellEnd"/>
      <w:r w:rsid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24177">
        <w:rPr>
          <w:rFonts w:ascii="Bookman Old Style" w:hAnsi="Bookman Old Style"/>
          <w:sz w:val="24"/>
          <w:szCs w:val="24"/>
        </w:rPr>
        <w:t>sejalan</w:t>
      </w:r>
      <w:proofErr w:type="spellEnd"/>
      <w:r w:rsid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24177">
        <w:rPr>
          <w:rFonts w:ascii="Bookman Old Style" w:hAnsi="Bookman Old Style"/>
          <w:sz w:val="24"/>
          <w:szCs w:val="24"/>
        </w:rPr>
        <w:t>dengan</w:t>
      </w:r>
      <w:proofErr w:type="spellEnd"/>
      <w:r w:rsid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24177">
        <w:rPr>
          <w:rFonts w:ascii="Bookman Old Style" w:hAnsi="Bookman Old Style"/>
          <w:sz w:val="24"/>
          <w:szCs w:val="24"/>
        </w:rPr>
        <w:t>kemandirian</w:t>
      </w:r>
      <w:proofErr w:type="spellEnd"/>
      <w:r w:rsidR="00624177">
        <w:rPr>
          <w:rFonts w:ascii="Bookman Old Style" w:hAnsi="Bookman Old Style"/>
          <w:sz w:val="24"/>
          <w:szCs w:val="24"/>
        </w:rPr>
        <w:t xml:space="preserve"> badan </w:t>
      </w:r>
      <w:proofErr w:type="spellStart"/>
      <w:r w:rsidR="00624177">
        <w:rPr>
          <w:rFonts w:ascii="Bookman Old Style" w:hAnsi="Bookman Old Style"/>
          <w:sz w:val="24"/>
          <w:szCs w:val="24"/>
        </w:rPr>
        <w:t>peradilan</w:t>
      </w:r>
      <w:proofErr w:type="spellEnd"/>
      <w:r w:rsidR="00624177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="00624177">
        <w:rPr>
          <w:rFonts w:ascii="Bookman Old Style" w:hAnsi="Bookman Old Style"/>
          <w:sz w:val="24"/>
          <w:szCs w:val="24"/>
        </w:rPr>
        <w:t>sebagaimana</w:t>
      </w:r>
      <w:proofErr w:type="spellEnd"/>
      <w:r w:rsid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24177">
        <w:rPr>
          <w:rFonts w:ascii="Bookman Old Style" w:hAnsi="Bookman Old Style"/>
          <w:sz w:val="24"/>
          <w:szCs w:val="24"/>
        </w:rPr>
        <w:t>dijelaskan</w:t>
      </w:r>
      <w:proofErr w:type="spellEnd"/>
      <w:r w:rsid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24177">
        <w:rPr>
          <w:rFonts w:ascii="Bookman Old Style" w:hAnsi="Bookman Old Style"/>
          <w:sz w:val="24"/>
          <w:szCs w:val="24"/>
        </w:rPr>
        <w:t>sebelumnya</w:t>
      </w:r>
      <w:proofErr w:type="spellEnd"/>
      <w:r w:rsidR="00624177">
        <w:rPr>
          <w:rFonts w:ascii="Bookman Old Style" w:hAnsi="Bookman Old Style"/>
          <w:sz w:val="24"/>
          <w:szCs w:val="24"/>
        </w:rPr>
        <w:t>;</w:t>
      </w:r>
    </w:p>
    <w:p w14:paraId="46E3BF35" w14:textId="2A2B2DF2" w:rsidR="007175CB" w:rsidRDefault="00624177" w:rsidP="00076E9A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Bookman Old Style" w:hAnsi="Bookman Old Style"/>
          <w:sz w:val="24"/>
          <w:szCs w:val="24"/>
        </w:rPr>
      </w:pPr>
      <w:r w:rsidRPr="00624177">
        <w:rPr>
          <w:rFonts w:ascii="Bookman Old Style" w:hAnsi="Bookman Old Style"/>
          <w:sz w:val="24"/>
          <w:szCs w:val="24"/>
        </w:rPr>
        <w:t xml:space="preserve">MA </w:t>
      </w:r>
      <w:proofErr w:type="spellStart"/>
      <w:r w:rsidRPr="00624177">
        <w:rPr>
          <w:rFonts w:ascii="Bookman Old Style" w:hAnsi="Bookman Old Style"/>
          <w:sz w:val="24"/>
          <w:szCs w:val="24"/>
        </w:rPr>
        <w:t>tidak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24177">
        <w:rPr>
          <w:rFonts w:ascii="Bookman Old Style" w:hAnsi="Bookman Old Style"/>
          <w:sz w:val="24"/>
          <w:szCs w:val="24"/>
        </w:rPr>
        <w:t>dalam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24177">
        <w:rPr>
          <w:rFonts w:ascii="Bookman Old Style" w:hAnsi="Bookman Old Style"/>
          <w:sz w:val="24"/>
          <w:szCs w:val="24"/>
        </w:rPr>
        <w:t>posisi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24177">
        <w:rPr>
          <w:rFonts w:ascii="Bookman Old Style" w:hAnsi="Bookman Old Style"/>
          <w:sz w:val="24"/>
          <w:szCs w:val="24"/>
        </w:rPr>
        <w:t>mengomentari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24177">
        <w:rPr>
          <w:rFonts w:ascii="Bookman Old Style" w:hAnsi="Bookman Old Style"/>
          <w:sz w:val="24"/>
          <w:szCs w:val="24"/>
        </w:rPr>
        <w:t>tanggapan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24177">
        <w:rPr>
          <w:rFonts w:ascii="Bookman Old Style" w:hAnsi="Bookman Old Style"/>
          <w:sz w:val="24"/>
          <w:szCs w:val="24"/>
        </w:rPr>
        <w:t>ahli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24177">
        <w:rPr>
          <w:rFonts w:ascii="Bookman Old Style" w:hAnsi="Bookman Old Style"/>
          <w:sz w:val="24"/>
          <w:szCs w:val="24"/>
        </w:rPr>
        <w:t>terhadap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24177">
        <w:rPr>
          <w:rFonts w:ascii="Bookman Old Style" w:hAnsi="Bookman Old Style"/>
          <w:sz w:val="24"/>
          <w:szCs w:val="24"/>
        </w:rPr>
        <w:t>pertimbangan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24177">
        <w:rPr>
          <w:rFonts w:ascii="Bookman Old Style" w:hAnsi="Bookman Old Style"/>
          <w:sz w:val="24"/>
          <w:szCs w:val="24"/>
        </w:rPr>
        <w:t>Majelis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Hakim </w:t>
      </w:r>
      <w:proofErr w:type="spellStart"/>
      <w:r w:rsidRPr="00624177">
        <w:rPr>
          <w:rFonts w:ascii="Bookman Old Style" w:hAnsi="Bookman Old Style"/>
          <w:sz w:val="24"/>
          <w:szCs w:val="24"/>
        </w:rPr>
        <w:t>dalam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24177">
        <w:rPr>
          <w:rFonts w:ascii="Bookman Old Style" w:hAnsi="Bookman Old Style"/>
          <w:sz w:val="24"/>
          <w:szCs w:val="24"/>
        </w:rPr>
        <w:t>Putusan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24177">
        <w:rPr>
          <w:rFonts w:ascii="Bookman Old Style" w:hAnsi="Bookman Old Style"/>
          <w:sz w:val="24"/>
          <w:szCs w:val="24"/>
        </w:rPr>
        <w:t>Nomor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17 P/HUM/2021, </w:t>
      </w:r>
      <w:proofErr w:type="spellStart"/>
      <w:r w:rsidRPr="00624177">
        <w:rPr>
          <w:rFonts w:ascii="Bookman Old Style" w:hAnsi="Bookman Old Style"/>
          <w:sz w:val="24"/>
          <w:szCs w:val="24"/>
        </w:rPr>
        <w:t>karena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24177">
        <w:rPr>
          <w:rFonts w:ascii="Bookman Old Style" w:hAnsi="Bookman Old Style"/>
          <w:sz w:val="24"/>
          <w:szCs w:val="24"/>
        </w:rPr>
        <w:t>Majelis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Hakim </w:t>
      </w:r>
      <w:proofErr w:type="spellStart"/>
      <w:r w:rsidRPr="00624177">
        <w:rPr>
          <w:rFonts w:ascii="Bookman Old Style" w:hAnsi="Bookman Old Style"/>
          <w:sz w:val="24"/>
          <w:szCs w:val="24"/>
        </w:rPr>
        <w:t>telah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24177">
        <w:rPr>
          <w:rFonts w:ascii="Bookman Old Style" w:hAnsi="Bookman Old Style"/>
          <w:sz w:val="24"/>
          <w:szCs w:val="24"/>
        </w:rPr>
        <w:t>mempertimbangkan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24177">
        <w:rPr>
          <w:rFonts w:ascii="Bookman Old Style" w:hAnsi="Bookman Old Style"/>
          <w:sz w:val="24"/>
          <w:szCs w:val="24"/>
        </w:rPr>
        <w:t>dengan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24177">
        <w:rPr>
          <w:rFonts w:ascii="Bookman Old Style" w:hAnsi="Bookman Old Style"/>
          <w:sz w:val="24"/>
          <w:szCs w:val="24"/>
        </w:rPr>
        <w:t>seksama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24177">
        <w:rPr>
          <w:rFonts w:ascii="Bookman Old Style" w:hAnsi="Bookman Old Style"/>
          <w:sz w:val="24"/>
          <w:szCs w:val="24"/>
        </w:rPr>
        <w:t>kewenangan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MA, </w:t>
      </w:r>
      <w:r w:rsidRPr="00076E9A">
        <w:rPr>
          <w:rFonts w:ascii="Bookman Old Style" w:hAnsi="Bookman Old Style"/>
          <w:i/>
          <w:iCs/>
          <w:sz w:val="24"/>
          <w:szCs w:val="24"/>
        </w:rPr>
        <w:t>legal standing</w:t>
      </w:r>
      <w:r w:rsidRPr="00624177">
        <w:rPr>
          <w:rFonts w:ascii="Bookman Old Style" w:hAnsi="Bookman Old Style"/>
          <w:sz w:val="24"/>
          <w:szCs w:val="24"/>
        </w:rPr>
        <w:t xml:space="preserve">, dan </w:t>
      </w:r>
      <w:proofErr w:type="spellStart"/>
      <w:r w:rsidRPr="00624177">
        <w:rPr>
          <w:rFonts w:ascii="Bookman Old Style" w:hAnsi="Bookman Old Style"/>
          <w:sz w:val="24"/>
          <w:szCs w:val="24"/>
        </w:rPr>
        <w:t>pokok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24177">
        <w:rPr>
          <w:rFonts w:ascii="Bookman Old Style" w:hAnsi="Bookman Old Style"/>
          <w:sz w:val="24"/>
          <w:szCs w:val="24"/>
        </w:rPr>
        <w:t>perkara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076E9A">
        <w:rPr>
          <w:rFonts w:ascii="Bookman Old Style" w:hAnsi="Bookman Old Style"/>
          <w:sz w:val="24"/>
          <w:szCs w:val="24"/>
        </w:rPr>
        <w:t>tersebut</w:t>
      </w:r>
      <w:proofErr w:type="spellEnd"/>
      <w:r w:rsidR="00076E9A">
        <w:rPr>
          <w:rFonts w:ascii="Bookman Old Style" w:hAnsi="Bookman Old Style"/>
          <w:sz w:val="24"/>
          <w:szCs w:val="24"/>
        </w:rPr>
        <w:t xml:space="preserve"> </w:t>
      </w:r>
      <w:r w:rsidRPr="00624177">
        <w:rPr>
          <w:rFonts w:ascii="Bookman Old Style" w:hAnsi="Bookman Old Style"/>
          <w:sz w:val="24"/>
          <w:szCs w:val="24"/>
        </w:rPr>
        <w:t xml:space="preserve">dan </w:t>
      </w:r>
      <w:proofErr w:type="spellStart"/>
      <w:r w:rsidRPr="00624177">
        <w:rPr>
          <w:rFonts w:ascii="Bookman Old Style" w:hAnsi="Bookman Old Style"/>
          <w:sz w:val="24"/>
          <w:szCs w:val="24"/>
        </w:rPr>
        <w:t>putusan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24177">
        <w:rPr>
          <w:rFonts w:ascii="Bookman Old Style" w:hAnsi="Bookman Old Style"/>
          <w:sz w:val="24"/>
          <w:szCs w:val="24"/>
        </w:rPr>
        <w:t>tersebut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r w:rsidR="00076E9A">
        <w:rPr>
          <w:rFonts w:ascii="Bookman Old Style" w:hAnsi="Bookman Old Style"/>
          <w:sz w:val="24"/>
          <w:szCs w:val="24"/>
        </w:rPr>
        <w:t xml:space="preserve">juga </w:t>
      </w:r>
      <w:proofErr w:type="spellStart"/>
      <w:r w:rsidRPr="00624177">
        <w:rPr>
          <w:rFonts w:ascii="Bookman Old Style" w:hAnsi="Bookman Old Style"/>
          <w:sz w:val="24"/>
          <w:szCs w:val="24"/>
        </w:rPr>
        <w:t>telah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24177">
        <w:rPr>
          <w:rFonts w:ascii="Bookman Old Style" w:hAnsi="Bookman Old Style"/>
          <w:sz w:val="24"/>
          <w:szCs w:val="24"/>
        </w:rPr>
        <w:t>dipublis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24177">
        <w:rPr>
          <w:rFonts w:ascii="Bookman Old Style" w:hAnsi="Bookman Old Style"/>
          <w:sz w:val="24"/>
          <w:szCs w:val="24"/>
        </w:rPr>
        <w:t>dalam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24177">
        <w:rPr>
          <w:rFonts w:ascii="Bookman Old Style" w:hAnsi="Bookman Old Style"/>
          <w:sz w:val="24"/>
          <w:szCs w:val="24"/>
        </w:rPr>
        <w:t>direktori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24177">
        <w:rPr>
          <w:rFonts w:ascii="Bookman Old Style" w:hAnsi="Bookman Old Style"/>
          <w:sz w:val="24"/>
          <w:szCs w:val="24"/>
        </w:rPr>
        <w:t>putusan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MA, </w:t>
      </w:r>
      <w:proofErr w:type="spellStart"/>
      <w:r w:rsidRPr="00624177">
        <w:rPr>
          <w:rFonts w:ascii="Bookman Old Style" w:hAnsi="Bookman Old Style"/>
          <w:sz w:val="24"/>
          <w:szCs w:val="24"/>
        </w:rPr>
        <w:t>sehingga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24177">
        <w:rPr>
          <w:rFonts w:ascii="Bookman Old Style" w:hAnsi="Bookman Old Style"/>
          <w:sz w:val="24"/>
          <w:szCs w:val="24"/>
        </w:rPr>
        <w:t>sudah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24177">
        <w:rPr>
          <w:rFonts w:ascii="Bookman Old Style" w:hAnsi="Bookman Old Style"/>
          <w:sz w:val="24"/>
          <w:szCs w:val="24"/>
        </w:rPr>
        <w:t>dapat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24177">
        <w:rPr>
          <w:rFonts w:ascii="Bookman Old Style" w:hAnsi="Bookman Old Style"/>
          <w:sz w:val="24"/>
          <w:szCs w:val="24"/>
        </w:rPr>
        <w:t>diakses</w:t>
      </w:r>
      <w:proofErr w:type="spellEnd"/>
      <w:r w:rsidRPr="00624177">
        <w:rPr>
          <w:rFonts w:ascii="Bookman Old Style" w:hAnsi="Bookman Old Style"/>
          <w:sz w:val="24"/>
          <w:szCs w:val="24"/>
        </w:rPr>
        <w:t xml:space="preserve"> oleh </w:t>
      </w:r>
      <w:proofErr w:type="spellStart"/>
      <w:r w:rsidRPr="00624177">
        <w:rPr>
          <w:rFonts w:ascii="Bookman Old Style" w:hAnsi="Bookman Old Style"/>
          <w:sz w:val="24"/>
          <w:szCs w:val="24"/>
        </w:rPr>
        <w:t>umum</w:t>
      </w:r>
      <w:proofErr w:type="spellEnd"/>
      <w:r w:rsidR="007175CB">
        <w:rPr>
          <w:rFonts w:ascii="Bookman Old Style" w:hAnsi="Bookman Old Style"/>
          <w:sz w:val="24"/>
          <w:szCs w:val="24"/>
        </w:rPr>
        <w:t>;</w:t>
      </w:r>
    </w:p>
    <w:p w14:paraId="5953C546" w14:textId="521EA1EF" w:rsidR="00CF7DD6" w:rsidRPr="00624177" w:rsidRDefault="007175CB" w:rsidP="00076E9A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M</w:t>
      </w:r>
      <w:r w:rsidR="00CF7DD6" w:rsidRPr="00624177">
        <w:rPr>
          <w:rFonts w:ascii="Bookman Old Style" w:hAnsi="Bookman Old Style"/>
          <w:sz w:val="24"/>
          <w:szCs w:val="24"/>
        </w:rPr>
        <w:t>ekanisme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pemeriksaan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permohonan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hak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uji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materil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di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Mahkamah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Agung yang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diatur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dalam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Pasal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31A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Undang-Undang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Nomor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3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Tahun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2009,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khususnya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076E9A">
        <w:rPr>
          <w:rFonts w:ascii="Bookman Old Style" w:hAnsi="Bookman Old Style"/>
          <w:sz w:val="24"/>
          <w:szCs w:val="24"/>
        </w:rPr>
        <w:t>tentang</w:t>
      </w:r>
      <w:proofErr w:type="spellEnd"/>
      <w:r w:rsidR="00076E9A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pemeriksaan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yang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tidak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menghadirkan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para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pihak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telah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dilakukan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uji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materi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ke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Mahkamah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Konstitusi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dan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telah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diputuskan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oleh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Mahkamah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Konstitisi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dalam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Putusan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Nomor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30/PUU-XIII/2015,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Majelis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Hakim MK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menolak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permohonan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tersebut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dan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dalam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pertimbangannya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majelis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hakim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menyebutkan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bahwa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Pasal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31A </w:t>
      </w:r>
      <w:proofErr w:type="spellStart"/>
      <w:r w:rsidR="00076E9A">
        <w:rPr>
          <w:rFonts w:ascii="Bookman Old Style" w:hAnsi="Bookman Old Style"/>
          <w:sz w:val="24"/>
          <w:szCs w:val="24"/>
        </w:rPr>
        <w:t>Undang-Undang</w:t>
      </w:r>
      <w:proofErr w:type="spellEnd"/>
      <w:r w:rsidR="00076E9A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076E9A">
        <w:rPr>
          <w:rFonts w:ascii="Bookman Old Style" w:hAnsi="Bookman Old Style"/>
          <w:sz w:val="24"/>
          <w:szCs w:val="24"/>
        </w:rPr>
        <w:t>Nomor</w:t>
      </w:r>
      <w:proofErr w:type="spellEnd"/>
      <w:r w:rsidR="00076E9A">
        <w:rPr>
          <w:rFonts w:ascii="Bookman Old Style" w:hAnsi="Bookman Old Style"/>
          <w:sz w:val="24"/>
          <w:szCs w:val="24"/>
        </w:rPr>
        <w:t xml:space="preserve"> 3 </w:t>
      </w:r>
      <w:proofErr w:type="spellStart"/>
      <w:r w:rsidR="00076E9A">
        <w:rPr>
          <w:rFonts w:ascii="Bookman Old Style" w:hAnsi="Bookman Old Style"/>
          <w:sz w:val="24"/>
          <w:szCs w:val="24"/>
        </w:rPr>
        <w:t>Tahun</w:t>
      </w:r>
      <w:proofErr w:type="spellEnd"/>
      <w:r w:rsidR="00076E9A">
        <w:rPr>
          <w:rFonts w:ascii="Bookman Old Style" w:hAnsi="Bookman Old Style"/>
          <w:sz w:val="24"/>
          <w:szCs w:val="24"/>
        </w:rPr>
        <w:t xml:space="preserve"> 2009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tidak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bertentangan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dengan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UUD 1945,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karena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hal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tersebut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lastRenderedPageBreak/>
        <w:t>bersifat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r w:rsidR="00CF7DD6" w:rsidRPr="00076E9A">
        <w:rPr>
          <w:rFonts w:ascii="Bookman Old Style" w:hAnsi="Bookman Old Style"/>
          <w:i/>
          <w:iCs/>
          <w:sz w:val="24"/>
          <w:szCs w:val="24"/>
        </w:rPr>
        <w:t>open legal policy</w:t>
      </w:r>
      <w:r w:rsidR="00CF7DD6" w:rsidRPr="00624177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apalagi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undang-undang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jelas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membatasi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wak</w:t>
      </w:r>
      <w:r w:rsidR="00076E9A">
        <w:rPr>
          <w:rFonts w:ascii="Bookman Old Style" w:hAnsi="Bookman Old Style"/>
          <w:sz w:val="24"/>
          <w:szCs w:val="24"/>
        </w:rPr>
        <w:t>tu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bagi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MA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untuk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memutus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perka</w:t>
      </w:r>
      <w:r w:rsidR="00076E9A">
        <w:rPr>
          <w:rFonts w:ascii="Bookman Old Style" w:hAnsi="Bookman Old Style"/>
          <w:sz w:val="24"/>
          <w:szCs w:val="24"/>
        </w:rPr>
        <w:t>ra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HUM </w:t>
      </w:r>
      <w:proofErr w:type="spellStart"/>
      <w:r w:rsidR="00076E9A">
        <w:rPr>
          <w:rFonts w:ascii="Bookman Old Style" w:hAnsi="Bookman Old Style"/>
          <w:sz w:val="24"/>
          <w:szCs w:val="24"/>
        </w:rPr>
        <w:t>selama</w:t>
      </w:r>
      <w:proofErr w:type="spellEnd"/>
      <w:r w:rsidR="00076E9A">
        <w:rPr>
          <w:rFonts w:ascii="Bookman Old Style" w:hAnsi="Bookman Old Style"/>
          <w:sz w:val="24"/>
          <w:szCs w:val="24"/>
        </w:rPr>
        <w:t xml:space="preserve"> </w:t>
      </w:r>
      <w:r w:rsidR="00CF7DD6" w:rsidRPr="00624177">
        <w:rPr>
          <w:rFonts w:ascii="Bookman Old Style" w:hAnsi="Bookman Old Style"/>
          <w:sz w:val="24"/>
          <w:szCs w:val="24"/>
        </w:rPr>
        <w:t xml:space="preserve">14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hari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kerja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sejak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diterimanya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permohonan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sehingga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tidak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cukup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waktu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bagi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MA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untuk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menghadirkan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para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pihak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berbeda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dengan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F7DD6" w:rsidRPr="00624177">
        <w:rPr>
          <w:rFonts w:ascii="Bookman Old Style" w:hAnsi="Bookman Old Style"/>
          <w:sz w:val="24"/>
          <w:szCs w:val="24"/>
        </w:rPr>
        <w:t>persidangan</w:t>
      </w:r>
      <w:proofErr w:type="spellEnd"/>
      <w:r w:rsidR="00CF7DD6" w:rsidRPr="00624177">
        <w:rPr>
          <w:rFonts w:ascii="Bookman Old Style" w:hAnsi="Bookman Old Style"/>
          <w:sz w:val="24"/>
          <w:szCs w:val="24"/>
        </w:rPr>
        <w:t xml:space="preserve"> di MK;</w:t>
      </w:r>
    </w:p>
    <w:p w14:paraId="38F099DE" w14:textId="5863D1CA" w:rsidR="00CF7DD6" w:rsidRDefault="00624177" w:rsidP="00076E9A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Langkah-langkah</w:t>
      </w:r>
      <w:proofErr w:type="spellEnd"/>
      <w:r>
        <w:rPr>
          <w:rFonts w:ascii="Bookman Old Style" w:hAnsi="Bookman Old Style"/>
          <w:sz w:val="24"/>
          <w:szCs w:val="24"/>
        </w:rPr>
        <w:t xml:space="preserve"> MA </w:t>
      </w:r>
      <w:proofErr w:type="spellStart"/>
      <w:r>
        <w:rPr>
          <w:rFonts w:ascii="Bookman Old Style" w:hAnsi="Bookman Old Style"/>
          <w:sz w:val="24"/>
          <w:szCs w:val="24"/>
        </w:rPr>
        <w:t>dalam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penguatan</w:t>
      </w:r>
      <w:proofErr w:type="spellEnd"/>
      <w:r>
        <w:rPr>
          <w:rFonts w:ascii="Bookman Old Style" w:hAnsi="Bookman Old Style"/>
          <w:sz w:val="24"/>
          <w:szCs w:val="24"/>
        </w:rPr>
        <w:t xml:space="preserve"> hakim pada </w:t>
      </w:r>
      <w:proofErr w:type="spellStart"/>
      <w:r>
        <w:rPr>
          <w:rFonts w:ascii="Bookman Old Style" w:hAnsi="Bookman Old Style"/>
          <w:sz w:val="24"/>
          <w:szCs w:val="24"/>
        </w:rPr>
        <w:t>perspektif</w:t>
      </w:r>
      <w:proofErr w:type="spellEnd"/>
      <w:r>
        <w:rPr>
          <w:rFonts w:ascii="Bookman Old Style" w:hAnsi="Bookman Old Style"/>
          <w:sz w:val="24"/>
          <w:szCs w:val="24"/>
        </w:rPr>
        <w:t xml:space="preserve"> HAM dan </w:t>
      </w:r>
      <w:proofErr w:type="spellStart"/>
      <w:r>
        <w:rPr>
          <w:rFonts w:ascii="Bookman Old Style" w:hAnsi="Bookman Old Style"/>
          <w:sz w:val="24"/>
          <w:szCs w:val="24"/>
        </w:rPr>
        <w:t>perempuan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adalah</w:t>
      </w:r>
      <w:proofErr w:type="spellEnd"/>
      <w:r>
        <w:rPr>
          <w:rFonts w:ascii="Bookman Old Style" w:hAnsi="Bookman Old Style"/>
          <w:sz w:val="24"/>
          <w:szCs w:val="24"/>
        </w:rPr>
        <w:t>:</w:t>
      </w:r>
    </w:p>
    <w:p w14:paraId="087428A0" w14:textId="20FA1705" w:rsidR="00624177" w:rsidRDefault="00624177" w:rsidP="00076E9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MA </w:t>
      </w:r>
      <w:proofErr w:type="spellStart"/>
      <w:r>
        <w:rPr>
          <w:rFonts w:ascii="Bookman Old Style" w:hAnsi="Bookman Old Style"/>
          <w:sz w:val="24"/>
          <w:szCs w:val="24"/>
        </w:rPr>
        <w:t>telah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merumuskan</w:t>
      </w:r>
      <w:proofErr w:type="spellEnd"/>
      <w:r>
        <w:rPr>
          <w:rFonts w:ascii="Bookman Old Style" w:hAnsi="Bookman Old Style"/>
          <w:sz w:val="24"/>
          <w:szCs w:val="24"/>
        </w:rPr>
        <w:t xml:space="preserve"> Kebijakan </w:t>
      </w:r>
      <w:proofErr w:type="spellStart"/>
      <w:r>
        <w:rPr>
          <w:rFonts w:ascii="Bookman Old Style" w:hAnsi="Bookman Old Style"/>
          <w:sz w:val="24"/>
          <w:szCs w:val="24"/>
        </w:rPr>
        <w:t>berupa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Peraturan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Mahkamah</w:t>
      </w:r>
      <w:proofErr w:type="spellEnd"/>
      <w:r>
        <w:rPr>
          <w:rFonts w:ascii="Bookman Old Style" w:hAnsi="Bookman Old Style"/>
          <w:sz w:val="24"/>
          <w:szCs w:val="24"/>
        </w:rPr>
        <w:t xml:space="preserve"> Agung </w:t>
      </w:r>
      <w:proofErr w:type="spellStart"/>
      <w:r>
        <w:rPr>
          <w:rFonts w:ascii="Bookman Old Style" w:hAnsi="Bookman Old Style"/>
          <w:sz w:val="24"/>
          <w:szCs w:val="24"/>
        </w:rPr>
        <w:t>Nomor</w:t>
      </w:r>
      <w:proofErr w:type="spellEnd"/>
      <w:r>
        <w:rPr>
          <w:rFonts w:ascii="Bookman Old Style" w:hAnsi="Bookman Old Style"/>
          <w:sz w:val="24"/>
          <w:szCs w:val="24"/>
        </w:rPr>
        <w:t xml:space="preserve"> 3 </w:t>
      </w:r>
      <w:proofErr w:type="spellStart"/>
      <w:r>
        <w:rPr>
          <w:rFonts w:ascii="Bookman Old Style" w:hAnsi="Bookman Old Style"/>
          <w:sz w:val="24"/>
          <w:szCs w:val="24"/>
        </w:rPr>
        <w:t>Tahun</w:t>
      </w:r>
      <w:proofErr w:type="spellEnd"/>
      <w:r>
        <w:rPr>
          <w:rFonts w:ascii="Bookman Old Style" w:hAnsi="Bookman Old Style"/>
          <w:sz w:val="24"/>
          <w:szCs w:val="24"/>
        </w:rPr>
        <w:t xml:space="preserve"> 2017 </w:t>
      </w:r>
      <w:proofErr w:type="spellStart"/>
      <w:r>
        <w:rPr>
          <w:rFonts w:ascii="Bookman Old Style" w:hAnsi="Bookman Old Style"/>
          <w:sz w:val="24"/>
          <w:szCs w:val="24"/>
        </w:rPr>
        <w:t>tentang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Pedoman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Mengadili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Perkara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Perempuan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Berhadapan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dengan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Hukum</w:t>
      </w:r>
      <w:proofErr w:type="spellEnd"/>
      <w:r>
        <w:rPr>
          <w:rFonts w:ascii="Bookman Old Style" w:hAnsi="Bookman Old Style"/>
          <w:sz w:val="24"/>
          <w:szCs w:val="24"/>
        </w:rPr>
        <w:t>;</w:t>
      </w:r>
    </w:p>
    <w:p w14:paraId="3551DD6E" w14:textId="67BE2D60" w:rsidR="00624177" w:rsidRDefault="00624177" w:rsidP="00076E9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MA </w:t>
      </w:r>
      <w:proofErr w:type="spellStart"/>
      <w:r>
        <w:rPr>
          <w:rFonts w:ascii="Bookman Old Style" w:hAnsi="Bookman Old Style"/>
          <w:sz w:val="24"/>
          <w:szCs w:val="24"/>
        </w:rPr>
        <w:t>telah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mensosialisasikan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Peraturan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Mahkamah</w:t>
      </w:r>
      <w:proofErr w:type="spellEnd"/>
      <w:r>
        <w:rPr>
          <w:rFonts w:ascii="Bookman Old Style" w:hAnsi="Bookman Old Style"/>
          <w:sz w:val="24"/>
          <w:szCs w:val="24"/>
        </w:rPr>
        <w:t xml:space="preserve"> Agung </w:t>
      </w:r>
      <w:proofErr w:type="spellStart"/>
      <w:r>
        <w:rPr>
          <w:rFonts w:ascii="Bookman Old Style" w:hAnsi="Bookman Old Style"/>
          <w:sz w:val="24"/>
          <w:szCs w:val="24"/>
        </w:rPr>
        <w:t>Nomor</w:t>
      </w:r>
      <w:proofErr w:type="spellEnd"/>
      <w:r>
        <w:rPr>
          <w:rFonts w:ascii="Bookman Old Style" w:hAnsi="Bookman Old Style"/>
          <w:sz w:val="24"/>
          <w:szCs w:val="24"/>
        </w:rPr>
        <w:t xml:space="preserve"> 3 </w:t>
      </w:r>
      <w:proofErr w:type="spellStart"/>
      <w:r>
        <w:rPr>
          <w:rFonts w:ascii="Bookman Old Style" w:hAnsi="Bookman Old Style"/>
          <w:sz w:val="24"/>
          <w:szCs w:val="24"/>
        </w:rPr>
        <w:t>Tahun</w:t>
      </w:r>
      <w:proofErr w:type="spellEnd"/>
      <w:r>
        <w:rPr>
          <w:rFonts w:ascii="Bookman Old Style" w:hAnsi="Bookman Old Style"/>
          <w:sz w:val="24"/>
          <w:szCs w:val="24"/>
        </w:rPr>
        <w:t xml:space="preserve"> 2017 </w:t>
      </w:r>
      <w:proofErr w:type="spellStart"/>
      <w:r>
        <w:rPr>
          <w:rFonts w:ascii="Bookman Old Style" w:hAnsi="Bookman Old Style"/>
          <w:sz w:val="24"/>
          <w:szCs w:val="24"/>
        </w:rPr>
        <w:t>tentang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Pedoman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Mengadili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Perkara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Perempuan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Berhadapan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dengan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Hukum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kepada</w:t>
      </w:r>
      <w:proofErr w:type="spellEnd"/>
      <w:r>
        <w:rPr>
          <w:rFonts w:ascii="Bookman Old Style" w:hAnsi="Bookman Old Style"/>
          <w:sz w:val="24"/>
          <w:szCs w:val="24"/>
        </w:rPr>
        <w:t xml:space="preserve"> Hakim dan </w:t>
      </w:r>
      <w:proofErr w:type="spellStart"/>
      <w:r>
        <w:rPr>
          <w:rFonts w:ascii="Bookman Old Style" w:hAnsi="Bookman Old Style"/>
          <w:sz w:val="24"/>
          <w:szCs w:val="24"/>
        </w:rPr>
        <w:t>aparatur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pengadilan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secara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umum</w:t>
      </w:r>
      <w:proofErr w:type="spellEnd"/>
      <w:r>
        <w:rPr>
          <w:rFonts w:ascii="Bookman Old Style" w:hAnsi="Bookman Old Style"/>
          <w:sz w:val="24"/>
          <w:szCs w:val="24"/>
        </w:rPr>
        <w:t>;</w:t>
      </w:r>
    </w:p>
    <w:p w14:paraId="05DF97D1" w14:textId="7C3741A9" w:rsidR="00624177" w:rsidRDefault="00624177" w:rsidP="00076E9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MA </w:t>
      </w:r>
      <w:proofErr w:type="spellStart"/>
      <w:r>
        <w:rPr>
          <w:rFonts w:ascii="Bookman Old Style" w:hAnsi="Bookman Old Style"/>
          <w:sz w:val="24"/>
          <w:szCs w:val="24"/>
        </w:rPr>
        <w:t>memasukkan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materi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tentang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pedoman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mengadili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perkara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perempuan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berhadapan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hukum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ke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dalam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materi</w:t>
      </w:r>
      <w:proofErr w:type="spellEnd"/>
      <w:r>
        <w:rPr>
          <w:rFonts w:ascii="Bookman Old Style" w:hAnsi="Bookman Old Style"/>
          <w:sz w:val="24"/>
          <w:szCs w:val="24"/>
        </w:rPr>
        <w:t xml:space="preserve"> Pendidikan dan </w:t>
      </w:r>
      <w:proofErr w:type="spellStart"/>
      <w:r>
        <w:rPr>
          <w:rFonts w:ascii="Bookman Old Style" w:hAnsi="Bookman Old Style"/>
          <w:sz w:val="24"/>
          <w:szCs w:val="24"/>
        </w:rPr>
        <w:t>Pelatihan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serta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Bimbingan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Teknis</w:t>
      </w:r>
      <w:proofErr w:type="spellEnd"/>
      <w:r>
        <w:rPr>
          <w:rFonts w:ascii="Bookman Old Style" w:hAnsi="Bookman Old Style"/>
          <w:sz w:val="24"/>
          <w:szCs w:val="24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</w:rPr>
        <w:t>khususnya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bagi</w:t>
      </w:r>
      <w:proofErr w:type="spellEnd"/>
      <w:r>
        <w:rPr>
          <w:rFonts w:ascii="Bookman Old Style" w:hAnsi="Bookman Old Style"/>
          <w:sz w:val="24"/>
          <w:szCs w:val="24"/>
        </w:rPr>
        <w:t xml:space="preserve"> hakim.</w:t>
      </w:r>
    </w:p>
    <w:p w14:paraId="6EDEE98D" w14:textId="67561C20" w:rsidR="007175CB" w:rsidRDefault="007175CB" w:rsidP="007175CB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Dalam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ketentuan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Pasal</w:t>
      </w:r>
      <w:proofErr w:type="spellEnd"/>
      <w:r>
        <w:rPr>
          <w:rFonts w:ascii="Bookman Old Style" w:hAnsi="Bookman Old Style"/>
          <w:sz w:val="24"/>
          <w:szCs w:val="24"/>
        </w:rPr>
        <w:t xml:space="preserve"> 11 </w:t>
      </w:r>
      <w:proofErr w:type="spellStart"/>
      <w:r>
        <w:rPr>
          <w:rFonts w:ascii="Bookman Old Style" w:hAnsi="Bookman Old Style"/>
          <w:sz w:val="24"/>
          <w:szCs w:val="24"/>
        </w:rPr>
        <w:t>Perma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Nomor</w:t>
      </w:r>
      <w:proofErr w:type="spellEnd"/>
      <w:r>
        <w:rPr>
          <w:rFonts w:ascii="Bookman Old Style" w:hAnsi="Bookman Old Style"/>
          <w:sz w:val="24"/>
          <w:szCs w:val="24"/>
        </w:rPr>
        <w:t xml:space="preserve"> 3 </w:t>
      </w:r>
      <w:proofErr w:type="spellStart"/>
      <w:r>
        <w:rPr>
          <w:rFonts w:ascii="Bookman Old Style" w:hAnsi="Bookman Old Style"/>
          <w:sz w:val="24"/>
          <w:szCs w:val="24"/>
        </w:rPr>
        <w:t>Tahun</w:t>
      </w:r>
      <w:proofErr w:type="spellEnd"/>
      <w:r>
        <w:rPr>
          <w:rFonts w:ascii="Bookman Old Style" w:hAnsi="Bookman Old Style"/>
          <w:sz w:val="24"/>
          <w:szCs w:val="24"/>
        </w:rPr>
        <w:t xml:space="preserve"> 2017, </w:t>
      </w:r>
      <w:proofErr w:type="spellStart"/>
      <w:r>
        <w:rPr>
          <w:rFonts w:ascii="Bookman Old Style" w:hAnsi="Bookman Old Style"/>
          <w:sz w:val="24"/>
          <w:szCs w:val="24"/>
        </w:rPr>
        <w:t>dalam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hal</w:t>
      </w:r>
      <w:proofErr w:type="spellEnd"/>
      <w:r>
        <w:rPr>
          <w:rFonts w:ascii="Bookman Old Style" w:hAnsi="Bookman Old Style"/>
          <w:sz w:val="24"/>
          <w:szCs w:val="24"/>
        </w:rPr>
        <w:t xml:space="preserve"> MA </w:t>
      </w:r>
      <w:proofErr w:type="spellStart"/>
      <w:r>
        <w:rPr>
          <w:rFonts w:ascii="Bookman Old Style" w:hAnsi="Bookman Old Style"/>
          <w:sz w:val="24"/>
          <w:szCs w:val="24"/>
        </w:rPr>
        <w:t>melakukan</w:t>
      </w:r>
      <w:proofErr w:type="spellEnd"/>
      <w:r>
        <w:rPr>
          <w:rFonts w:ascii="Bookman Old Style" w:hAnsi="Bookman Old Style"/>
          <w:sz w:val="24"/>
          <w:szCs w:val="24"/>
        </w:rPr>
        <w:t xml:space="preserve"> uji </w:t>
      </w:r>
      <w:proofErr w:type="spellStart"/>
      <w:r>
        <w:rPr>
          <w:rFonts w:ascii="Bookman Old Style" w:hAnsi="Bookman Old Style"/>
          <w:sz w:val="24"/>
          <w:szCs w:val="24"/>
        </w:rPr>
        <w:t>materil</w:t>
      </w:r>
      <w:proofErr w:type="spellEnd"/>
      <w:r>
        <w:rPr>
          <w:rFonts w:ascii="Bookman Old Style" w:hAnsi="Bookman Old Style"/>
          <w:sz w:val="24"/>
          <w:szCs w:val="24"/>
        </w:rPr>
        <w:t xml:space="preserve"> yang </w:t>
      </w:r>
      <w:proofErr w:type="spellStart"/>
      <w:r>
        <w:rPr>
          <w:rFonts w:ascii="Bookman Old Style" w:hAnsi="Bookman Old Style"/>
          <w:sz w:val="24"/>
          <w:szCs w:val="24"/>
        </w:rPr>
        <w:t>terkait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dengan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perempuan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berhadapan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dengan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hukum</w:t>
      </w:r>
      <w:proofErr w:type="spellEnd"/>
      <w:r>
        <w:rPr>
          <w:rFonts w:ascii="Bookman Old Style" w:hAnsi="Bookman Old Style"/>
          <w:sz w:val="24"/>
          <w:szCs w:val="24"/>
        </w:rPr>
        <w:t xml:space="preserve">, agar </w:t>
      </w:r>
      <w:proofErr w:type="spellStart"/>
      <w:r>
        <w:rPr>
          <w:rFonts w:ascii="Bookman Old Style" w:hAnsi="Bookman Old Style"/>
          <w:sz w:val="24"/>
          <w:szCs w:val="24"/>
        </w:rPr>
        <w:t>mempertimbangkan</w:t>
      </w:r>
      <w:proofErr w:type="spellEnd"/>
      <w:r>
        <w:rPr>
          <w:rFonts w:ascii="Bookman Old Style" w:hAnsi="Bookman Old Style"/>
          <w:sz w:val="24"/>
          <w:szCs w:val="24"/>
        </w:rPr>
        <w:t>:</w:t>
      </w:r>
    </w:p>
    <w:p w14:paraId="6D81DE93" w14:textId="190809F1" w:rsidR="007175CB" w:rsidRDefault="007175CB" w:rsidP="007175C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Prinsip</w:t>
      </w:r>
      <w:proofErr w:type="spellEnd"/>
      <w:r>
        <w:rPr>
          <w:rFonts w:ascii="Bookman Old Style" w:hAnsi="Bookman Old Style"/>
          <w:sz w:val="24"/>
          <w:szCs w:val="24"/>
        </w:rPr>
        <w:t xml:space="preserve"> HAM;</w:t>
      </w:r>
    </w:p>
    <w:p w14:paraId="64722D41" w14:textId="32EA0DAD" w:rsidR="007175CB" w:rsidRDefault="007175CB" w:rsidP="007175C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Kepentingan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terbaik</w:t>
      </w:r>
      <w:proofErr w:type="spellEnd"/>
      <w:r>
        <w:rPr>
          <w:rFonts w:ascii="Bookman Old Style" w:hAnsi="Bookman Old Style"/>
          <w:sz w:val="24"/>
          <w:szCs w:val="24"/>
        </w:rPr>
        <w:t xml:space="preserve"> dan </w:t>
      </w:r>
      <w:proofErr w:type="spellStart"/>
      <w:r>
        <w:rPr>
          <w:rFonts w:ascii="Bookman Old Style" w:hAnsi="Bookman Old Style"/>
          <w:sz w:val="24"/>
          <w:szCs w:val="24"/>
        </w:rPr>
        <w:t>pemulihan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perempuan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berhadapan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dengan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hukum</w:t>
      </w:r>
      <w:proofErr w:type="spellEnd"/>
      <w:r>
        <w:rPr>
          <w:rFonts w:ascii="Bookman Old Style" w:hAnsi="Bookman Old Style"/>
          <w:sz w:val="24"/>
          <w:szCs w:val="24"/>
        </w:rPr>
        <w:t>;</w:t>
      </w:r>
    </w:p>
    <w:p w14:paraId="581B70A0" w14:textId="4C61E675" w:rsidR="007175CB" w:rsidRDefault="007175CB" w:rsidP="007175C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Konvensi</w:t>
      </w:r>
      <w:proofErr w:type="spellEnd"/>
      <w:r>
        <w:rPr>
          <w:rFonts w:ascii="Bookman Old Style" w:hAnsi="Bookman Old Style"/>
          <w:sz w:val="24"/>
          <w:szCs w:val="24"/>
        </w:rPr>
        <w:t xml:space="preserve"> dan/</w:t>
      </w:r>
      <w:proofErr w:type="spellStart"/>
      <w:r>
        <w:rPr>
          <w:rFonts w:ascii="Bookman Old Style" w:hAnsi="Bookman Old Style"/>
          <w:sz w:val="24"/>
          <w:szCs w:val="24"/>
        </w:rPr>
        <w:t>atau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perjanjian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internasional</w:t>
      </w:r>
      <w:proofErr w:type="spellEnd"/>
      <w:r w:rsidR="005D254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terkait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kesetaraan</w:t>
      </w:r>
      <w:proofErr w:type="spellEnd"/>
      <w:r>
        <w:rPr>
          <w:rFonts w:ascii="Bookman Old Style" w:hAnsi="Bookman Old Style"/>
          <w:sz w:val="24"/>
          <w:szCs w:val="24"/>
        </w:rPr>
        <w:t xml:space="preserve"> gender yang </w:t>
      </w:r>
      <w:proofErr w:type="spellStart"/>
      <w:r>
        <w:rPr>
          <w:rFonts w:ascii="Bookman Old Style" w:hAnsi="Bookman Old Style"/>
          <w:sz w:val="24"/>
          <w:szCs w:val="24"/>
        </w:rPr>
        <w:t>telah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diratifikasi</w:t>
      </w:r>
      <w:proofErr w:type="spellEnd"/>
      <w:r>
        <w:rPr>
          <w:rFonts w:ascii="Bookman Old Style" w:hAnsi="Bookman Old Style"/>
          <w:sz w:val="24"/>
          <w:szCs w:val="24"/>
        </w:rPr>
        <w:t>;</w:t>
      </w:r>
    </w:p>
    <w:p w14:paraId="1FFEED4D" w14:textId="62D2E181" w:rsidR="007175CB" w:rsidRDefault="007175CB" w:rsidP="007175C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Relasi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kuasa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serta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setiap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pandangan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stre</w:t>
      </w:r>
      <w:r w:rsidR="005D2549">
        <w:rPr>
          <w:rFonts w:ascii="Bookman Old Style" w:hAnsi="Bookman Old Style"/>
          <w:sz w:val="24"/>
          <w:szCs w:val="24"/>
        </w:rPr>
        <w:t>o</w:t>
      </w:r>
      <w:r>
        <w:rPr>
          <w:rFonts w:ascii="Bookman Old Style" w:hAnsi="Bookman Old Style"/>
          <w:sz w:val="24"/>
          <w:szCs w:val="24"/>
        </w:rPr>
        <w:t>tip</w:t>
      </w:r>
      <w:proofErr w:type="spellEnd"/>
      <w:r>
        <w:rPr>
          <w:rFonts w:ascii="Bookman Old Style" w:hAnsi="Bookman Old Style"/>
          <w:sz w:val="24"/>
          <w:szCs w:val="24"/>
        </w:rPr>
        <w:t xml:space="preserve"> gender yang </w:t>
      </w:r>
      <w:proofErr w:type="spellStart"/>
      <w:r>
        <w:rPr>
          <w:rFonts w:ascii="Bookman Old Style" w:hAnsi="Bookman Old Style"/>
          <w:sz w:val="24"/>
          <w:szCs w:val="24"/>
        </w:rPr>
        <w:t>ada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dalam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peraturan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perundang-undangan</w:t>
      </w:r>
      <w:proofErr w:type="spellEnd"/>
      <w:r>
        <w:rPr>
          <w:rFonts w:ascii="Bookman Old Style" w:hAnsi="Bookman Old Style"/>
          <w:sz w:val="24"/>
          <w:szCs w:val="24"/>
        </w:rPr>
        <w:t>; dan</w:t>
      </w:r>
    </w:p>
    <w:p w14:paraId="4B3A89C1" w14:textId="236A8C50" w:rsidR="007175CB" w:rsidRPr="00CF7DD6" w:rsidRDefault="007175CB" w:rsidP="007175C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Analisis</w:t>
      </w:r>
      <w:proofErr w:type="spellEnd"/>
      <w:r>
        <w:rPr>
          <w:rFonts w:ascii="Bookman Old Style" w:hAnsi="Bookman Old Style"/>
          <w:sz w:val="24"/>
          <w:szCs w:val="24"/>
        </w:rPr>
        <w:t xml:space="preserve"> gender </w:t>
      </w:r>
      <w:proofErr w:type="spellStart"/>
      <w:r>
        <w:rPr>
          <w:rFonts w:ascii="Bookman Old Style" w:hAnsi="Bookman Old Style"/>
          <w:sz w:val="24"/>
          <w:szCs w:val="24"/>
        </w:rPr>
        <w:t>secara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komprehensif</w:t>
      </w:r>
      <w:proofErr w:type="spellEnd"/>
      <w:r>
        <w:rPr>
          <w:rFonts w:ascii="Bookman Old Style" w:hAnsi="Bookman Old Style"/>
          <w:sz w:val="24"/>
          <w:szCs w:val="24"/>
        </w:rPr>
        <w:t>.</w:t>
      </w:r>
      <w:bookmarkStart w:id="0" w:name="_GoBack"/>
      <w:bookmarkEnd w:id="0"/>
    </w:p>
    <w:sectPr w:rsidR="007175CB" w:rsidRPr="00CF7D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732854"/>
    <w:multiLevelType w:val="hybridMultilevel"/>
    <w:tmpl w:val="0D84E776"/>
    <w:lvl w:ilvl="0" w:tplc="431AA9A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0E7466B"/>
    <w:multiLevelType w:val="hybridMultilevel"/>
    <w:tmpl w:val="8C181610"/>
    <w:lvl w:ilvl="0" w:tplc="5D480B6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1E281D"/>
    <w:multiLevelType w:val="hybridMultilevel"/>
    <w:tmpl w:val="22EE71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DD6"/>
    <w:rsid w:val="00076E9A"/>
    <w:rsid w:val="005D2549"/>
    <w:rsid w:val="00624177"/>
    <w:rsid w:val="007175CB"/>
    <w:rsid w:val="00CF7DD6"/>
    <w:rsid w:val="00EC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D5E24"/>
  <w15:chartTrackingRefBased/>
  <w15:docId w15:val="{08501EF0-A8C2-4074-BB92-C92C18ED9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7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 Satria</dc:creator>
  <cp:keywords/>
  <dc:description/>
  <cp:lastModifiedBy>Rio Satria</cp:lastModifiedBy>
  <cp:revision>3</cp:revision>
  <dcterms:created xsi:type="dcterms:W3CDTF">2021-11-01T04:51:00Z</dcterms:created>
  <dcterms:modified xsi:type="dcterms:W3CDTF">2021-11-01T05:20:00Z</dcterms:modified>
</cp:coreProperties>
</file>